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1"/>
        <w:shd w:val="clear" w:color="auto" w:fill="FFFFFF"/>
        <w:spacing w:before="0" w:beforeAutospacing="0" w:after="0" w:afterAutospacing="0"/>
        <w:jc w:val="center"/>
        <w:rPr>
          <w:rFonts w:ascii="微软雅黑" w:eastAsia="微软雅黑" w:hAnsi="微软雅黑"/>
          <w:color w:val="4B4B4B"/>
          <w:sz w:val="30"/>
          <w:szCs w:val="30"/>
        </w:rPr>
      </w:pPr>
      <w:r>
        <w:rPr>
          <w:rFonts w:ascii="微软雅黑" w:eastAsia="微软雅黑" w:hAnsi="微软雅黑" w:hint="eastAsia"/>
          <w:color w:val="4B4B4B"/>
          <w:sz w:val="30"/>
          <w:szCs w:val="30"/>
        </w:rPr>
        <w:t>教育部关于印发《本科毕业论文（设计）抽检办法（试行）》的通知</w:t>
      </w:r>
    </w:p>
    <w:p>
      <w:pPr>
        <w:pStyle w:val="a7"/>
        <w:shd w:val="clear" w:color="auto" w:fill="FFFFFF"/>
        <w:spacing w:before="0" w:beforeAutospacing="0" w:after="0" w:afterAutospacing="0" w:line="480" w:lineRule="atLeast"/>
        <w:jc w:val="right"/>
        <w:rPr>
          <w:rFonts w:ascii="微软雅黑" w:eastAsia="微软雅黑" w:hAnsi="微软雅黑" w:hint="eastAsia"/>
          <w:color w:val="4B4B4B"/>
        </w:rPr>
      </w:pPr>
      <w:r>
        <w:rPr>
          <w:rFonts w:ascii="微软雅黑" w:eastAsia="微软雅黑" w:hAnsi="微软雅黑" w:hint="eastAsia"/>
          <w:color w:val="4B4B4B"/>
        </w:rPr>
        <w:t>教督〔2020〕5号</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各省、自治区、直辖市教育厅（教委），新疆生产建设兵团教育局，有关部门（单位）教育司（局），部属各高等学校、部省合建各高等学校：</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pPr>
        <w:pStyle w:val="a7"/>
        <w:shd w:val="clear" w:color="auto" w:fill="FFFFFF"/>
        <w:spacing w:before="0" w:beforeAutospacing="0" w:after="0" w:afterAutospacing="0" w:line="480" w:lineRule="atLeast"/>
        <w:jc w:val="righ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教育部</w:t>
      </w:r>
    </w:p>
    <w:p>
      <w:pPr>
        <w:pStyle w:val="a7"/>
        <w:shd w:val="clear" w:color="auto" w:fill="FFFFFF"/>
        <w:spacing w:before="0" w:beforeAutospacing="0" w:after="0" w:afterAutospacing="0" w:line="480" w:lineRule="atLeast"/>
        <w:jc w:val="righ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2020年12月24日</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本科毕业论文（设计）抽检办法（试行）</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第一章 总则</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第二条 教育部负责本科毕业论文抽检的统筹组织和监督，省级教育行政部门负责本地区本科毕业论文抽检的具体实施。其中，中国人民解放军有关部门负责军队系统本科毕业论文抽检的具体实施。</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第三条 本科毕业论文抽检工作应遵循独立、客观、科学、公正原则，任何单位和个人都不得以任何方式干扰抽检工作的正常进行。</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第四条 本科毕业论文抽检每年进行一次，抽检对象为上一学年度授予学士学位的论文，抽检比例原则上应不低于2%。</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第二章 评议要素和重点</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第五条 省级教育行政部门要参照《普通高等学校本科专业类教学质量国家标准》等要求，结合本地区工作实际，按照《普通高等学校本科专业目录（2020年版）》学科门类分别制定本科毕业论文抽检评议要素。</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第六条 本科毕业论文抽检应重点对选题意义、写作安排、逻辑构建、专业能力以及学术规范等进行考察。</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第三章 工作程序</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第八条 省级教育行政部门基于抽检信息平台和本地区学士学位授予信息，采取随机抽取的方式确定抽检名单。抽检论文要覆盖本地区所有本科层次普通高校及其全部本科专业。</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第九条 省级教育行政部门利用抽检信息平台对抽检论文进行学术不端行为检测，检测结果供专家评审参考。</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第四章 结果反馈与使用</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第十一条 本科毕业论文抽检结果由省级教育行政部门向有关高校反馈、抄送省级学位委员会，同时报教育部备案。</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第十二条 本科毕业论文抽检结果的使用。</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（一）抽检结果以适当方式向社会公开。</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（三）对连续3年抽检存在问题较多的本科专业，经整改仍无法达到要求者，视为不能保证培养质量，省级教育行政部门应依据有关规定责令其暂停招生，或由省级学位委员会撤销其学士学位授权点。</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（四）对涉嫌存在抄袭、剽窃、伪造、篡改、买卖、代写等学术不端行为的毕业论文，高校应按照相关程序进行调查核实，对查实的应依法撤销已授予学位，并注销学位证书。</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（五）抽检结果将作为本科教育教学评估、一流本科专业建设、本科专业认证以及专业建设经费投入等教育资源配置的重要参考依据。</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第五章 监督与保障</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第十三条 教育部定期对各省级教育行政部门本科毕业论文抽检工作情况开展监督检查，并将工作情况纳入省级人民政府履行教育职责评价的范畴。</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第十四条 省级教育行政部门应保障本科毕业论文抽检工作经费，列入年度工作预算，确保抽检工作顺利开展。</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第十五条 省级教育行政部门应建立本科毕业论文抽检申诉机制，规范申诉处理程序，保障有关高校和学生的合法权益。</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第十六条 各有关高校应按照所在地省级教育行政部门的有关要求，积极配合本科毕业论文抽检工作，准确完整地提供本科毕业论文、学位授予信息等材料。</w:t>
      </w:r>
    </w:p>
    <w:p>
      <w:pPr>
        <w:pStyle w:val="a7"/>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Fonts w:ascii="微软雅黑" w:eastAsia="微软雅黑" w:hAnsi="微软雅黑" w:hint="eastAsia"/>
          <w:b/>
          <w:bCs/>
          <w:color w:val="4B4B4B"/>
          <w:sz w:val="27"/>
          <w:szCs w:val="27"/>
          <w:bdr w:val="none" w:sz="0" w:space="0" w:color="auto" w:frame="1"/>
        </w:rPr>
        <w:t>第六章 附则</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第十七条 省级教育行政部门要参照本办法，结合地方实际，制定本省（区、市）本科毕业论文抽检工作实施细则，并报教育部备案。</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第十八条 本办法由教育部负责解释。</w:t>
      </w:r>
    </w:p>
    <w:p>
      <w:pPr>
        <w:pStyle w:val="a7"/>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第十九条 本办法自2021年1月1日起施行。</w:t>
      </w:r>
    </w:p>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FF4756-D13B-4C23-BB4A-A6A48F87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34557">
      <w:bodyDiv w:val="1"/>
      <w:marLeft w:val="0"/>
      <w:marRight w:val="0"/>
      <w:marTop w:val="0"/>
      <w:marBottom w:val="0"/>
      <w:divBdr>
        <w:top w:val="none" w:sz="0" w:space="0" w:color="auto"/>
        <w:left w:val="none" w:sz="0" w:space="0" w:color="auto"/>
        <w:bottom w:val="none" w:sz="0" w:space="0" w:color="auto"/>
        <w:right w:val="none" w:sz="0" w:space="0" w:color="auto"/>
      </w:divBdr>
      <w:divsChild>
        <w:div w:id="1289629860">
          <w:marLeft w:val="0"/>
          <w:marRight w:val="0"/>
          <w:marTop w:val="450"/>
          <w:marBottom w:val="0"/>
          <w:divBdr>
            <w:top w:val="none" w:sz="0" w:space="0" w:color="auto"/>
            <w:left w:val="none" w:sz="0" w:space="0" w:color="auto"/>
            <w:bottom w:val="none" w:sz="0" w:space="0" w:color="auto"/>
            <w:right w:val="none" w:sz="0" w:space="0" w:color="auto"/>
          </w:divBdr>
        </w:div>
      </w:divsChild>
    </w:div>
    <w:div w:id="3842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gao</dc:creator>
  <cp:keywords/>
  <dc:description/>
  <cp:lastModifiedBy>wei gao</cp:lastModifiedBy>
  <cp:revision>2</cp:revision>
  <dcterms:created xsi:type="dcterms:W3CDTF">2021-01-18T02:31:00Z</dcterms:created>
  <dcterms:modified xsi:type="dcterms:W3CDTF">2021-01-18T02:31:00Z</dcterms:modified>
</cp:coreProperties>
</file>